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ageBreakBefore w:val="0"/>
        <w:rPr/>
      </w:pPr>
      <w:r w:rsidDel="00000000" w:rsidR="00000000" w:rsidRPr="00000000">
        <w:rPr>
          <w:rtl w:val="0"/>
        </w:rPr>
        <w:t xml:space="preserve">ATTIVITÀ  2.2C</w:t>
      </w:r>
    </w:p>
    <w:p w:rsidR="00000000" w:rsidDel="00000000" w:rsidP="00000000" w:rsidRDefault="00000000" w:rsidRPr="00000000" w14:paraId="00000002">
      <w:pPr>
        <w:pageBreakBefore w:val="0"/>
        <w:rPr/>
      </w:pPr>
      <w:r w:rsidDel="00000000" w:rsidR="00000000" w:rsidRPr="00000000">
        <w:rPr>
          <w:rtl w:val="0"/>
        </w:rPr>
        <w:t xml:space="preserve">Dall’immagine al testo</w:t>
      </w:r>
    </w:p>
    <w:p w:rsidR="00000000" w:rsidDel="00000000" w:rsidP="00000000" w:rsidRDefault="00000000" w:rsidRPr="00000000" w14:paraId="00000003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ageBreakBefore w:val="0"/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scrivere le domande per la comprensione del testo e della situazione,  ma anche per individuare possibili legami fra i dati del volantino stesso.  </w:t>
      </w:r>
    </w:p>
    <w:p w:rsidR="00000000" w:rsidDel="00000000" w:rsidP="00000000" w:rsidRDefault="00000000" w:rsidRPr="00000000" w14:paraId="00000005">
      <w:pPr>
        <w:pageBreakBefore w:val="0"/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classificare i quesiti sulla base dei seguenti criteri:</w:t>
      </w:r>
    </w:p>
    <w:p w:rsidR="00000000" w:rsidDel="00000000" w:rsidP="00000000" w:rsidRDefault="00000000" w:rsidRPr="00000000" w14:paraId="00000006">
      <w:pPr>
        <w:pageBreakBefore w:val="0"/>
        <w:numPr>
          <w:ilvl w:val="1"/>
          <w:numId w:val="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domande di tipo linguistico (es.: significato di parole, chiarimento su qualche costruzione linguistica specifica);</w:t>
      </w:r>
    </w:p>
    <w:p w:rsidR="00000000" w:rsidDel="00000000" w:rsidP="00000000" w:rsidRDefault="00000000" w:rsidRPr="00000000" w14:paraId="00000007">
      <w:pPr>
        <w:pageBreakBefore w:val="0"/>
        <w:numPr>
          <w:ilvl w:val="1"/>
          <w:numId w:val="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domande di tipo conoscitivo generico (es.: chiarimenti su attività o situazioni);</w:t>
      </w:r>
    </w:p>
    <w:p w:rsidR="00000000" w:rsidDel="00000000" w:rsidP="00000000" w:rsidRDefault="00000000" w:rsidRPr="00000000" w14:paraId="00000008">
      <w:pPr>
        <w:pageBreakBefore w:val="0"/>
        <w:numPr>
          <w:ilvl w:val="1"/>
          <w:numId w:val="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domande inerenti al contesto ma di contenuto extramatematico (es.: domande che contengono in sé la propria risposta senza ulteriori calcoli, oppure domande dovute a un puro lavoro di fantasia);</w:t>
      </w:r>
    </w:p>
    <w:p w:rsidR="00000000" w:rsidDel="00000000" w:rsidP="00000000" w:rsidRDefault="00000000" w:rsidRPr="00000000" w14:paraId="00000009">
      <w:pPr>
        <w:pageBreakBefore w:val="0"/>
        <w:numPr>
          <w:ilvl w:val="1"/>
          <w:numId w:val="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domande a contenuto matematico.</w:t>
      </w:r>
    </w:p>
    <w:p w:rsidR="00000000" w:rsidDel="00000000" w:rsidP="00000000" w:rsidRDefault="00000000" w:rsidRPr="00000000" w14:paraId="0000000A">
      <w:pPr>
        <w:pageBreakBefore w:val="0"/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inventare un problema che faccia riferimento ai dati riportati nel volantino </w:t>
      </w:r>
    </w:p>
    <w:p w:rsidR="00000000" w:rsidDel="00000000" w:rsidP="00000000" w:rsidRDefault="00000000" w:rsidRPr="00000000" w14:paraId="0000000B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ageBreakBefore w:val="0"/>
        <w:rPr/>
      </w:pPr>
      <w:r w:rsidDel="00000000" w:rsidR="00000000" w:rsidRPr="00000000">
        <w:rPr/>
        <w:drawing>
          <wp:inline distB="19050" distT="19050" distL="19050" distR="19050">
            <wp:extent cx="3795713" cy="5360162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5713" cy="53601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it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